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after="150"/>
        <w:jc w:val="center"/>
        <w:outlineLvl w:val="2"/>
        <w:rPr>
          <w:rFonts w:ascii="微软雅黑" w:hAnsi="微软雅黑" w:eastAsia="微软雅黑" w:cs="微软雅黑"/>
          <w:color w:val="333333"/>
          <w:sz w:val="36"/>
          <w:szCs w:val="36"/>
          <w:lang w:val="en-US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lang w:val="en-US"/>
        </w:rPr>
        <w:t>2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</w:rPr>
        <w:t>02</w:t>
      </w:r>
      <w:r>
        <w:rPr>
          <w:rFonts w:ascii="微软雅黑" w:hAnsi="微软雅黑" w:eastAsia="微软雅黑" w:cs="微软雅黑"/>
          <w:color w:val="333333"/>
          <w:sz w:val="36"/>
          <w:szCs w:val="36"/>
        </w:rPr>
        <w:t>3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</w:rPr>
        <w:t>年度江苏省建设科技创新成果公示</w:t>
      </w:r>
      <w:r>
        <w:rPr>
          <w:rFonts w:hint="eastAsia" w:ascii="微软雅黑" w:hAnsi="微软雅黑" w:eastAsia="微软雅黑" w:cs="微软雅黑"/>
          <w:color w:val="333333"/>
          <w:sz w:val="36"/>
          <w:szCs w:val="36"/>
          <w:lang w:val="en-US"/>
        </w:rPr>
        <w:t>内容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项目名称</w:t>
      </w:r>
    </w:p>
    <w:p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城市地下环路建设关键技术研究</w:t>
      </w:r>
    </w:p>
    <w:p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bookmarkStart w:id="0" w:name="_GoBack"/>
      <w:bookmarkEnd w:id="0"/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完成人</w:t>
      </w:r>
    </w:p>
    <w:p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黄俊，赵光，敖辉，邢冬冬，李志远，卢志飞，龚丹丹，张琛浩，宛志寰，徐飞，邹鸿浩</w:t>
      </w:r>
    </w:p>
    <w:p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完成单位</w:t>
      </w:r>
    </w:p>
    <w:p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苏交科集团股份有限公司</w:t>
      </w:r>
    </w:p>
    <w:p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代表性论文论著目录</w:t>
      </w:r>
    </w:p>
    <w:p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3484"/>
        <w:gridCol w:w="1457"/>
        <w:gridCol w:w="2476"/>
        <w:gridCol w:w="9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251" w:type="pc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序号</w:t>
            </w:r>
          </w:p>
        </w:tc>
        <w:tc>
          <w:tcPr>
            <w:tcW w:w="1987" w:type="pc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论文论著名称</w:t>
            </w:r>
            <w:r>
              <w:rPr>
                <w:rFonts w:eastAsia="方正黑体_GBK"/>
                <w:sz w:val="18"/>
                <w:szCs w:val="18"/>
              </w:rPr>
              <w:t>/</w:t>
            </w:r>
            <w:r>
              <w:rPr>
                <w:rFonts w:hint="eastAsia" w:eastAsia="方正黑体_GBK"/>
                <w:sz w:val="18"/>
                <w:szCs w:val="18"/>
              </w:rPr>
              <w:t>刊名</w:t>
            </w:r>
            <w:r>
              <w:rPr>
                <w:rFonts w:eastAsia="方正黑体_GBK"/>
                <w:sz w:val="18"/>
                <w:szCs w:val="18"/>
              </w:rPr>
              <w:t xml:space="preserve">/ </w:t>
            </w:r>
          </w:p>
        </w:tc>
        <w:tc>
          <w:tcPr>
            <w:tcW w:w="831" w:type="pc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autoSpaceDE/>
              <w:autoSpaceDN/>
              <w:adjustRightIn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发表时间</w:t>
            </w:r>
          </w:p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（年</w:t>
            </w:r>
            <w:r>
              <w:rPr>
                <w:rFonts w:eastAsia="方正黑体_GBK"/>
                <w:sz w:val="18"/>
                <w:szCs w:val="18"/>
              </w:rPr>
              <w:t>/</w:t>
            </w:r>
            <w:r>
              <w:rPr>
                <w:rFonts w:hint="eastAsia" w:eastAsia="方正黑体_GBK"/>
                <w:sz w:val="18"/>
                <w:szCs w:val="18"/>
              </w:rPr>
              <w:t>月</w:t>
            </w:r>
            <w:r>
              <w:rPr>
                <w:rFonts w:eastAsia="方正黑体_GBK"/>
                <w:sz w:val="18"/>
                <w:szCs w:val="18"/>
              </w:rPr>
              <w:t>/</w:t>
            </w:r>
            <w:r>
              <w:rPr>
                <w:rFonts w:hint="eastAsia" w:eastAsia="方正黑体_GBK"/>
                <w:sz w:val="18"/>
                <w:szCs w:val="18"/>
              </w:rPr>
              <w:t>日）</w:t>
            </w:r>
          </w:p>
        </w:tc>
        <w:tc>
          <w:tcPr>
            <w:tcW w:w="1412" w:type="pc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作</w:t>
            </w:r>
            <w:r>
              <w:rPr>
                <w:rFonts w:eastAsia="方正黑体_GBK"/>
                <w:sz w:val="18"/>
                <w:szCs w:val="18"/>
              </w:rPr>
              <w:t xml:space="preserve">  </w:t>
            </w:r>
            <w:r>
              <w:rPr>
                <w:rFonts w:hint="eastAsia" w:eastAsia="方正黑体_GBK"/>
                <w:sz w:val="18"/>
                <w:szCs w:val="18"/>
              </w:rPr>
              <w:t>者</w:t>
            </w:r>
          </w:p>
        </w:tc>
        <w:tc>
          <w:tcPr>
            <w:tcW w:w="519" w:type="pc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备</w:t>
            </w:r>
            <w:r>
              <w:rPr>
                <w:rFonts w:eastAsia="方正黑体_GBK"/>
                <w:sz w:val="18"/>
                <w:szCs w:val="18"/>
              </w:rPr>
              <w:t xml:space="preserve">  </w:t>
            </w:r>
            <w:r>
              <w:rPr>
                <w:rFonts w:hint="eastAsia" w:eastAsia="方正黑体_GBK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1</w:t>
            </w:r>
          </w:p>
        </w:tc>
        <w:tc>
          <w:tcPr>
            <w:tcW w:w="1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隧道口减光设施对照明的影响研究</w:t>
            </w:r>
            <w:r>
              <w:rPr>
                <w:rFonts w:eastAsia="方正黑体_GBK"/>
                <w:sz w:val="18"/>
                <w:szCs w:val="18"/>
              </w:rPr>
              <w:t>/</w:t>
            </w:r>
            <w:r>
              <w:rPr>
                <w:rFonts w:hint="eastAsia" w:eastAsia="方正黑体_GBK"/>
                <w:sz w:val="18"/>
                <w:szCs w:val="18"/>
              </w:rPr>
              <w:t>交通节能与环保</w:t>
            </w:r>
          </w:p>
        </w:tc>
        <w:tc>
          <w:tcPr>
            <w:tcW w:w="83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2</w:t>
            </w:r>
            <w:r>
              <w:rPr>
                <w:rFonts w:eastAsia="方正黑体_GBK"/>
                <w:sz w:val="18"/>
                <w:szCs w:val="18"/>
              </w:rPr>
              <w:t>020.02.15</w:t>
            </w:r>
          </w:p>
        </w:tc>
        <w:tc>
          <w:tcPr>
            <w:tcW w:w="1412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郭丽苹、李志远</w:t>
            </w:r>
          </w:p>
        </w:tc>
        <w:tc>
          <w:tcPr>
            <w:tcW w:w="519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2</w:t>
            </w:r>
          </w:p>
        </w:tc>
        <w:tc>
          <w:tcPr>
            <w:tcW w:w="1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人员疏散出口布置对城市地下环路疏散效率的影响研究</w:t>
            </w:r>
            <w:r>
              <w:rPr>
                <w:rFonts w:eastAsia="方正黑体_GBK"/>
                <w:sz w:val="18"/>
                <w:szCs w:val="18"/>
              </w:rPr>
              <w:t>/</w:t>
            </w:r>
            <w:r>
              <w:rPr>
                <w:rFonts w:hint="eastAsia" w:eastAsia="方正黑体_GBK"/>
                <w:sz w:val="18"/>
                <w:szCs w:val="18"/>
              </w:rPr>
              <w:t>中国安全生产科学技术</w:t>
            </w:r>
          </w:p>
        </w:tc>
        <w:tc>
          <w:tcPr>
            <w:tcW w:w="83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2020.08.31</w:t>
            </w:r>
          </w:p>
        </w:tc>
        <w:tc>
          <w:tcPr>
            <w:tcW w:w="1412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李志远、秦文龙、邢冬冬、刘启龙</w:t>
            </w:r>
          </w:p>
        </w:tc>
        <w:tc>
          <w:tcPr>
            <w:tcW w:w="519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3</w:t>
            </w:r>
          </w:p>
        </w:tc>
        <w:tc>
          <w:tcPr>
            <w:tcW w:w="1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城市核心区地下环路功能及出入口设置研究</w:t>
            </w:r>
            <w:r>
              <w:rPr>
                <w:rFonts w:eastAsia="方正黑体_GBK"/>
                <w:sz w:val="18"/>
                <w:szCs w:val="18"/>
              </w:rPr>
              <w:t>/</w:t>
            </w:r>
            <w:r>
              <w:rPr>
                <w:rFonts w:hint="eastAsia" w:eastAsia="方正黑体_GBK"/>
                <w:sz w:val="18"/>
                <w:szCs w:val="18"/>
              </w:rPr>
              <w:t>现代交通技术</w:t>
            </w:r>
          </w:p>
        </w:tc>
        <w:tc>
          <w:tcPr>
            <w:tcW w:w="83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2021.12.16</w:t>
            </w:r>
          </w:p>
        </w:tc>
        <w:tc>
          <w:tcPr>
            <w:tcW w:w="1412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邢冬冬、黄俊、卢志飞、杨奎</w:t>
            </w:r>
          </w:p>
        </w:tc>
        <w:tc>
          <w:tcPr>
            <w:tcW w:w="519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4</w:t>
            </w:r>
          </w:p>
        </w:tc>
        <w:tc>
          <w:tcPr>
            <w:tcW w:w="1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综合管廊与地下工程协同建设的关键问题与对策</w:t>
            </w:r>
            <w:r>
              <w:rPr>
                <w:rFonts w:eastAsia="方正黑体_GBK"/>
                <w:sz w:val="18"/>
                <w:szCs w:val="18"/>
              </w:rPr>
              <w:t>/</w:t>
            </w:r>
            <w:r>
              <w:rPr>
                <w:rFonts w:hint="eastAsia" w:eastAsia="方正黑体_GBK"/>
                <w:sz w:val="18"/>
                <w:szCs w:val="18"/>
              </w:rPr>
              <w:t>地下空间与工程学报</w:t>
            </w:r>
          </w:p>
        </w:tc>
        <w:tc>
          <w:tcPr>
            <w:tcW w:w="83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2018.12.15</w:t>
            </w:r>
          </w:p>
        </w:tc>
        <w:tc>
          <w:tcPr>
            <w:tcW w:w="1412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张忠宇、徐建、黄俊、蔡斌</w:t>
            </w:r>
          </w:p>
        </w:tc>
        <w:tc>
          <w:tcPr>
            <w:tcW w:w="519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5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5</w:t>
            </w:r>
          </w:p>
        </w:tc>
        <w:tc>
          <w:tcPr>
            <w:tcW w:w="1987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隧道坡度变化对全射流纵向通风效率的影响研究</w:t>
            </w:r>
            <w:r>
              <w:rPr>
                <w:rFonts w:eastAsia="方正黑体_GBK"/>
                <w:sz w:val="18"/>
                <w:szCs w:val="18"/>
              </w:rPr>
              <w:t>/</w:t>
            </w:r>
            <w:r>
              <w:rPr>
                <w:rFonts w:hint="eastAsia" w:eastAsia="方正黑体_GBK"/>
                <w:sz w:val="18"/>
                <w:szCs w:val="18"/>
              </w:rPr>
              <w:t>安全与环境学报</w:t>
            </w:r>
          </w:p>
        </w:tc>
        <w:tc>
          <w:tcPr>
            <w:tcW w:w="831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方正黑体_GBK"/>
                <w:sz w:val="18"/>
                <w:szCs w:val="18"/>
              </w:rPr>
              <w:t>2020.12.25</w:t>
            </w:r>
          </w:p>
        </w:tc>
        <w:tc>
          <w:tcPr>
            <w:tcW w:w="1412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孔杰、徐志胜、黄俊、梁印、李志远、游温娇</w:t>
            </w:r>
          </w:p>
        </w:tc>
        <w:tc>
          <w:tcPr>
            <w:tcW w:w="519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</w:tbl>
    <w:p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  <w:r>
        <w:rPr>
          <w:rFonts w:hint="eastAsia" w:ascii="siyuanheiti" w:hAnsi="siyuanheiti" w:eastAsia="微软雅黑" w:cs="Arial"/>
          <w:color w:val="333333"/>
          <w:szCs w:val="21"/>
          <w:lang w:val="en-US"/>
        </w:rPr>
        <w:t>主要知识产权目录</w:t>
      </w:r>
    </w:p>
    <w:p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</w:p>
    <w:tbl>
      <w:tblPr>
        <w:tblStyle w:val="7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007"/>
        <w:gridCol w:w="1314"/>
        <w:gridCol w:w="731"/>
        <w:gridCol w:w="1159"/>
        <w:gridCol w:w="1095"/>
        <w:gridCol w:w="1125"/>
        <w:gridCol w:w="927"/>
        <w:gridCol w:w="9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51" w:type="pc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序号</w:t>
            </w:r>
          </w:p>
        </w:tc>
        <w:tc>
          <w:tcPr>
            <w:tcW w:w="574" w:type="pc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知识</w:t>
            </w:r>
          </w:p>
          <w:p>
            <w:pPr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产权</w:t>
            </w:r>
          </w:p>
          <w:p>
            <w:pPr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类别</w:t>
            </w:r>
          </w:p>
        </w:tc>
        <w:tc>
          <w:tcPr>
            <w:tcW w:w="749" w:type="pc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知识产权具体名称</w:t>
            </w:r>
          </w:p>
        </w:tc>
        <w:tc>
          <w:tcPr>
            <w:tcW w:w="417" w:type="pc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国家</w:t>
            </w:r>
          </w:p>
          <w:p>
            <w:pPr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（地区）</w:t>
            </w:r>
          </w:p>
        </w:tc>
        <w:tc>
          <w:tcPr>
            <w:tcW w:w="661" w:type="pct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授权号</w:t>
            </w:r>
          </w:p>
        </w:tc>
        <w:tc>
          <w:tcPr>
            <w:tcW w:w="625" w:type="pc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授权日期</w:t>
            </w:r>
          </w:p>
        </w:tc>
        <w:tc>
          <w:tcPr>
            <w:tcW w:w="642" w:type="pc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证书编号</w:t>
            </w:r>
          </w:p>
        </w:tc>
        <w:tc>
          <w:tcPr>
            <w:tcW w:w="529" w:type="pc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权利人</w:t>
            </w:r>
          </w:p>
        </w:tc>
        <w:tc>
          <w:tcPr>
            <w:tcW w:w="551" w:type="pct"/>
            <w:tcBorders>
              <w:top w:val="single" w:color="auto" w:sz="8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adjustRightInd w:val="0"/>
              <w:snapToGrid w:val="0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hint="eastAsia" w:eastAsia="方正黑体_GBK"/>
                <w:sz w:val="18"/>
                <w:szCs w:val="18"/>
              </w:rPr>
              <w:t>发明人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51" w:type="pct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574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发明专利</w:t>
            </w:r>
          </w:p>
        </w:tc>
        <w:tc>
          <w:tcPr>
            <w:tcW w:w="749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地下环路车辆引导系统和方法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661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L202110389683.4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CN113192324B</w:t>
            </w:r>
          </w:p>
        </w:tc>
        <w:tc>
          <w:tcPr>
            <w:tcW w:w="625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021.4.12</w:t>
            </w:r>
          </w:p>
        </w:tc>
        <w:tc>
          <w:tcPr>
            <w:tcW w:w="642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541832</w:t>
            </w:r>
          </w:p>
        </w:tc>
        <w:tc>
          <w:tcPr>
            <w:tcW w:w="529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苏交科集团股份有限公司</w:t>
            </w:r>
          </w:p>
        </w:tc>
        <w:tc>
          <w:tcPr>
            <w:tcW w:w="551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黄俊、董盛时、张忠宇、邢冬冬、陈飞、卢志飞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" w:type="pct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574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实用新型</w:t>
            </w:r>
          </w:p>
        </w:tc>
        <w:tc>
          <w:tcPr>
            <w:tcW w:w="749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一种隧道洞口污染物集中排放装置及隧道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661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L201921586610.9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CN210948752U</w:t>
            </w:r>
          </w:p>
        </w:tc>
        <w:tc>
          <w:tcPr>
            <w:tcW w:w="625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019.9.23</w:t>
            </w:r>
          </w:p>
        </w:tc>
        <w:tc>
          <w:tcPr>
            <w:tcW w:w="642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0922628</w:t>
            </w:r>
          </w:p>
        </w:tc>
        <w:tc>
          <w:tcPr>
            <w:tcW w:w="529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苏交科集团股份有限公司</w:t>
            </w:r>
          </w:p>
        </w:tc>
        <w:tc>
          <w:tcPr>
            <w:tcW w:w="551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黄俊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李志远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季红玲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何瑶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赵光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" w:type="pct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574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实用新型</w:t>
            </w:r>
          </w:p>
        </w:tc>
        <w:tc>
          <w:tcPr>
            <w:tcW w:w="749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基于</w:t>
            </w:r>
            <w:r>
              <w:rPr>
                <w:rFonts w:hint="eastAsia"/>
                <w:sz w:val="18"/>
                <w:szCs w:val="18"/>
              </w:rPr>
              <w:t>ZigBee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网络的地下环路车辆导航系统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661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ZL201721282143.1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CN202120737567.2</w:t>
            </w:r>
          </w:p>
        </w:tc>
        <w:tc>
          <w:tcPr>
            <w:tcW w:w="625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2021.4.12</w:t>
            </w:r>
          </w:p>
        </w:tc>
        <w:tc>
          <w:tcPr>
            <w:tcW w:w="642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14428234</w:t>
            </w:r>
          </w:p>
        </w:tc>
        <w:tc>
          <w:tcPr>
            <w:tcW w:w="529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苏交科集团股份有限公司</w:t>
            </w:r>
          </w:p>
        </w:tc>
        <w:tc>
          <w:tcPr>
            <w:tcW w:w="551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黄俊、董盛时、张忠宇、邢冬冬、陈飞、卢志飞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" w:type="pct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574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实用新型</w:t>
            </w:r>
          </w:p>
        </w:tc>
        <w:tc>
          <w:tcPr>
            <w:tcW w:w="749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一种桥架安装的支架及其桥架系统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661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</w:t>
            </w:r>
            <w:r>
              <w:rPr>
                <w:sz w:val="18"/>
                <w:szCs w:val="18"/>
              </w:rPr>
              <w:t>L202120905406.X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CN215419481U</w:t>
            </w:r>
          </w:p>
        </w:tc>
        <w:tc>
          <w:tcPr>
            <w:tcW w:w="625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022.01.04</w:t>
            </w:r>
          </w:p>
        </w:tc>
        <w:tc>
          <w:tcPr>
            <w:tcW w:w="642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5346978</w:t>
            </w:r>
          </w:p>
        </w:tc>
        <w:tc>
          <w:tcPr>
            <w:tcW w:w="529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苏交科集团股份有限公司</w:t>
            </w:r>
          </w:p>
        </w:tc>
        <w:tc>
          <w:tcPr>
            <w:tcW w:w="551" w:type="pc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沈阳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刘洪涛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潘红兵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高才驰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陈喜坤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张忠宇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孙晶晶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李红卫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刘效东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杨璐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黄杰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王安飞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柳富勇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董飞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李奥</w:t>
            </w:r>
            <w:r>
              <w:rPr>
                <w:rFonts w:hint="eastAsia"/>
                <w:sz w:val="18"/>
                <w:szCs w:val="18"/>
              </w:rPr>
              <w:t xml:space="preserve">;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1" w:type="pct"/>
            <w:vAlign w:val="center"/>
          </w:tcPr>
          <w:p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574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江苏省地方标准</w:t>
            </w:r>
          </w:p>
        </w:tc>
        <w:tc>
          <w:tcPr>
            <w:tcW w:w="74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城市地下环路设计标准</w:t>
            </w: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中国</w:t>
            </w:r>
          </w:p>
        </w:tc>
        <w:tc>
          <w:tcPr>
            <w:tcW w:w="661" w:type="pct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/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/</w:t>
            </w:r>
          </w:p>
        </w:tc>
        <w:tc>
          <w:tcPr>
            <w:tcW w:w="642" w:type="pct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/</w:t>
            </w:r>
          </w:p>
        </w:tc>
        <w:tc>
          <w:tcPr>
            <w:tcW w:w="529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苏交科集团股份有限公司、南京市城市与交通规划设计研究院股份有限公司、应急管理部四川消防研究所、苏州恒泰商用置业有限公司、苏州普息导航技术有限公司、江苏方洋物流有限公司。</w:t>
            </w:r>
          </w:p>
        </w:tc>
        <w:tc>
          <w:tcPr>
            <w:tcW w:w="551" w:type="pc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黄俊、郜俊成、邢冬冬、李志远、张忠宇、敖辉、卢志飞、王钶、王鹏翔、赵骏、李乐、孙立、戴坚、邱金鹏</w:t>
            </w:r>
          </w:p>
        </w:tc>
      </w:tr>
    </w:tbl>
    <w:p>
      <w:pPr>
        <w:widowControl/>
        <w:shd w:val="clear" w:color="auto" w:fill="FFFFFF"/>
        <w:rPr>
          <w:rFonts w:hint="eastAsia" w:ascii="siyuanheiti" w:hAnsi="siyuanheiti" w:eastAsia="微软雅黑" w:cs="Arial"/>
          <w:color w:val="333333"/>
          <w:szCs w:val="21"/>
          <w:lang w:val="en-US"/>
        </w:rPr>
      </w:pPr>
    </w:p>
    <w:sectPr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yuanheit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3A53F"/>
    <w:multiLevelType w:val="singleLevel"/>
    <w:tmpl w:val="39F3A53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3ODk5NzkyMjRhNjgyNDQ4YWJlMzUxYmM5OWVkNGMifQ=="/>
  </w:docVars>
  <w:rsids>
    <w:rsidRoot w:val="00E43302"/>
    <w:rsid w:val="000054CD"/>
    <w:rsid w:val="00044702"/>
    <w:rsid w:val="00066703"/>
    <w:rsid w:val="000C4119"/>
    <w:rsid w:val="00151372"/>
    <w:rsid w:val="001608EA"/>
    <w:rsid w:val="00240E2E"/>
    <w:rsid w:val="00373E41"/>
    <w:rsid w:val="003A5D07"/>
    <w:rsid w:val="003D765B"/>
    <w:rsid w:val="00427DF7"/>
    <w:rsid w:val="004431D9"/>
    <w:rsid w:val="00470E03"/>
    <w:rsid w:val="00515EBC"/>
    <w:rsid w:val="007C79BF"/>
    <w:rsid w:val="007D0DE5"/>
    <w:rsid w:val="007D78CB"/>
    <w:rsid w:val="00811CCF"/>
    <w:rsid w:val="008662A1"/>
    <w:rsid w:val="008C5BCB"/>
    <w:rsid w:val="009A78F0"/>
    <w:rsid w:val="009B5490"/>
    <w:rsid w:val="009B6F69"/>
    <w:rsid w:val="009C77C8"/>
    <w:rsid w:val="00A32664"/>
    <w:rsid w:val="00AB2583"/>
    <w:rsid w:val="00B22951"/>
    <w:rsid w:val="00B607A9"/>
    <w:rsid w:val="00B94CE0"/>
    <w:rsid w:val="00C14B63"/>
    <w:rsid w:val="00C51E1A"/>
    <w:rsid w:val="00C91076"/>
    <w:rsid w:val="00CA63F9"/>
    <w:rsid w:val="00CB6A18"/>
    <w:rsid w:val="00D036B8"/>
    <w:rsid w:val="00D041EF"/>
    <w:rsid w:val="00DD617C"/>
    <w:rsid w:val="00DE16EA"/>
    <w:rsid w:val="00E146EE"/>
    <w:rsid w:val="00E43302"/>
    <w:rsid w:val="523B5791"/>
    <w:rsid w:val="59E1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0"/>
    <w:pPr>
      <w:autoSpaceDE/>
      <w:autoSpaceDN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styleId="3">
    <w:name w:val="Body Text"/>
    <w:basedOn w:val="1"/>
    <w:qFormat/>
    <w:uiPriority w:val="1"/>
    <w:pPr>
      <w:spacing w:before="1"/>
    </w:pPr>
    <w:rPr>
      <w:rFonts w:ascii="宋体" w:hAnsi="宋体" w:eastAsia="宋体" w:cs="宋体"/>
      <w:sz w:val="24"/>
      <w:szCs w:val="24"/>
    </w:rPr>
  </w:style>
  <w:style w:type="paragraph" w:styleId="4">
    <w:name w:val="Balloon Text"/>
    <w:basedOn w:val="1"/>
    <w:link w:val="16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0"/>
    <w:rPr>
      <w:sz w:val="21"/>
      <w:szCs w:val="21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8"/>
    <w:link w:val="6"/>
    <w:uiPriority w:val="0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character" w:customStyle="1" w:styleId="14">
    <w:name w:val="页脚 Char"/>
    <w:basedOn w:val="8"/>
    <w:link w:val="5"/>
    <w:uiPriority w:val="0"/>
    <w:rPr>
      <w:rFonts w:ascii="Times New Roman" w:hAnsi="Times New Roman" w:eastAsia="Times New Roman" w:cs="Times New Roman"/>
      <w:sz w:val="18"/>
      <w:szCs w:val="18"/>
      <w:lang w:val="zh-CN" w:bidi="zh-CN"/>
    </w:rPr>
  </w:style>
  <w:style w:type="character" w:customStyle="1" w:styleId="15">
    <w:name w:val="批注文字 Char"/>
    <w:basedOn w:val="8"/>
    <w:link w:val="2"/>
    <w:qFormat/>
    <w:uiPriority w:val="0"/>
    <w:rPr>
      <w:kern w:val="2"/>
      <w:sz w:val="21"/>
      <w:szCs w:val="22"/>
    </w:rPr>
  </w:style>
  <w:style w:type="character" w:customStyle="1" w:styleId="16">
    <w:name w:val="批注框文本 Char"/>
    <w:basedOn w:val="8"/>
    <w:link w:val="4"/>
    <w:semiHidden/>
    <w:uiPriority w:val="0"/>
    <w:rPr>
      <w:rFonts w:ascii="Times New Roman" w:hAnsi="Times New Roman" w:eastAsia="Times New Roman" w:cs="Times New Roman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829</Words>
  <Characters>1050</Characters>
  <Lines>8</Lines>
  <Paragraphs>2</Paragraphs>
  <TotalTime>29</TotalTime>
  <ScaleCrop>false</ScaleCrop>
  <LinksUpToDate>false</LinksUpToDate>
  <CharactersWithSpaces>1075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2021-07-29T02:45:00Z</dcterms:created>
  <dc:creator>006037</dc:creator>
  <cp:lastModifiedBy>俊</cp:lastModifiedBy>
  <dcterms:modified xsi:type="dcterms:W3CDTF">2023-06-02T06:48:15Z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LastSaved">
    <vt:filetime>2021-07-08T00:00:00Z</vt:filetime>
  </property>
  <property fmtid="{D5CDD505-2E9C-101B-9397-08002B2CF9AE}" pid="4" name="KSOProductBuildVer">
    <vt:lpwstr>2052-11.1.0.14309</vt:lpwstr>
  </property>
  <property fmtid="{D5CDD505-2E9C-101B-9397-08002B2CF9AE}" pid="5" name="ICV">
    <vt:lpwstr>69EEAB7EF56347888E4439CF909D75B5_12</vt:lpwstr>
  </property>
</Properties>
</file>